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BK_B 134/04 vom 4. November 2004</w:t>
      </w:r>
    </w:p>
    <w:p>
      <w:r>
        <w:t>Bundesstrafgericht, 2004-11-04, IT</w:t>
      </w:r>
    </w:p>
    <w:p>
      <w:r>
        <w:rPr>
          <w:b/>
        </w:rPr>
        <w:t xml:space="preserve">Quelle: </w:t>
      </w:r>
      <w:r>
        <w:t>https://mcp.opencaselaw.ch/entscheid/bstger_BK_B 134_04</w:t>
      </w:r>
    </w:p>
    <w:p>
      <w:r>
        <w:t>FR: TPF BK_B 134/04 du 4 novembre 2004</w:t>
      </w:r>
    </w:p>
    <w:p>
      <w:r>
        <w:t>IT: TPF BK_B 134/04 del 4 novembre 2004</w:t>
      </w:r>
    </w:p>
    <w:p>
      <w:pPr>
        <w:pStyle w:val="Heading2"/>
      </w:pPr>
      <w:r>
        <w:t>Regeste</w:t>
      </w:r>
    </w:p>
    <w:p>
      <w:r>
        <w:t>Reclamo contro ordine di perquisizione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Giusta l’art. 105bis cpv. 2 PP, nella versione in vigore dal 1° aprile 2004, gli atti e le omissioni del procuratore generale della Confederazione possono essere impugnati con ricorso alla Corte dei reclami penali del Tribunale pe- nale federale, seguendo le prescrizioni procedurali degli art. 214-219 PP.</w:t>
      </w:r>
    </w:p>
    <w:p>
      <w:r>
        <w:rPr>
          <w:b/>
        </w:rPr>
        <w:t>E. 1.2</w:t>
      </w:r>
    </w:p>
    <w:p>
      <w:r>
        <w:t>Il termine di ricorso entro il quale impugnare un atto o un’omissione del procuratore generale della Confederazione è di cinque giorni a contare dal giorno in cui il ricorrente ne ha avuto conoscenza (art. 217 PP per analo- gia). In concreto, l’ordine di perquisizione impugnato è datato 25 agosto 2004, ed è stato eseguito il 31 agosto successivo presso l’abitazione di A.______, B.______ e C.______ a X.______. È quindi da ritenere che le qui reclamanti hanno preso formale conoscenza del provvedimento, al più tardi, in tale data; il termine per interporre reclamo ai sensi dell’art. 217 PP scadeva domenica 5 settembre 2004, protratto al primo giorno feriale se- guente giusta l’art. 32 cpv. 2 OG. Introdotto lunedì 6 settembre 2004, il ri- medio è pertanto tempestivo.</w:t>
      </w:r>
    </w:p>
    <w:p>
      <w:r>
        <w:rPr>
          <w:b/>
        </w:rPr>
        <w:t>E. 1.3</w:t>
      </w:r>
    </w:p>
    <w:p>
      <w:r>
        <w:t>Il reclamo è formalmente diretto contro l’ordine di perquisizione del 25 ago- sto 2004; in realtà, più che la perquisizione stessa, le reclamanti intendono contestare la presa in custodia e il successivo sequestro dei beni operata dalle autorità inquirenti. Ad ogni modo, le loro conclusioni tendono alla re- stituzione, rispettivamente al dissequestro, degli oggetti; le censure ricor- suali saranno di conseguenza esaminate alla luce delle disposizioni che reggono il sequestro (art. 65 PP).</w:t>
      </w:r>
    </w:p>
    <w:p>
      <w:r>
        <w:t>- 4 -</w:t>
      </w:r>
    </w:p>
    <w:p>
      <w:r>
        <w:rPr>
          <w:b/>
        </w:rPr>
        <w:t>E. 2</w:t>
      </w:r>
    </w:p>
    <w:p>
      <w:r>
        <w:t>(denaro contante appartenente alla menzionata società di cambio) se ne conclude che l’indagato - e quindi l’organizzazione criminale a cui è sospet- tato appartenere - aveva su tale veicolo un potere di disposizione fattuale ai</w:t>
      </w:r>
    </w:p>
    <w:p>
      <w:r>
        <w:t>- 9 -</w:t>
      </w:r>
    </w:p>
    <w:p>
      <w:r>
        <w:t>sensi dell’art. 59 n. 3 CP (v. sentenza del Tribunale penale federale BK-B 081/04 del 20 settembre 2004, consid. 4.2, con la dottrina e la giurispru- denza citata). La misura di sequestro relativa a questo veicolo risulta quindi giustificata.</w:t>
      </w:r>
    </w:p>
    <w:p>
      <w:r>
        <w:rPr>
          <w:b/>
        </w:rPr>
        <w:t>E. 2.1</w:t>
      </w:r>
    </w:p>
    <w:p>
      <w:r>
        <w:t>Le reclamanti ritengono ingiustificato il provvedimento adottato dal MPC, rilevando che i rimanenti beni tuttora sotto custodia delle autorità inquirenti sono di loro proprietà o, in alcuni casi, di terze persone e che C.______ non ha alcun potere di disposizione fattuale su tali beni. Tali oggetti non a- vrebbero peraltro relazione alcuna con i fatti imputati al marito, rispettiva- mente padre (contrabbando di sigarette a livello internazionale, apparte- nenza ad organizzazione criminale, riciclaggio di denaro). Di avviso contrario è invece il MPC, per il quale il sequestro cautelare degli averi ritrovati presso il domicilio privato di C.______ è stato adottato in pre- senza di sufficienti indizi di reato e risulta, tenuto anche conto dello stadio preliminare e della complessità dell’inchiesta, del tutto proporzionato; per l’autorità inquirente non vi è, al momento, prova certa che questi beni ap-</w:t>
      </w:r>
    </w:p>
    <w:p>
      <w:r>
        <w:t>- 5 -</w:t>
      </w:r>
    </w:p>
    <w:p>
      <w:r>
        <w:t>partengano alle qui reclamanti o a terzi, per cui il mantenimento del seque- stro cautelare si imporrebbe.</w:t>
      </w:r>
    </w:p>
    <w:p>
      <w:r>
        <w:rPr>
          <w:b/>
        </w:rPr>
        <w:t>E. 2.2</w:t>
      </w:r>
    </w:p>
    <w:p>
      <w:r>
        <w:t>La perquisizione effettuata presso il domicilio privato a X.______ si iscrive nel quadro di un’inchiesta preliminare avviata dal MPC volta ad accertare le responsabilità penali di C.______ (e di altri co-indagati) nell’ambito di un vasto traffico internazionale di sigarette di contrabbando; quest’ultimo a- vrebbe in particolare provveduto - per il tramite di alcune società da lui con- trollate - a riciclare in Svizzera parte dei proventi di questo traffico. Riguardo alla presenza di sufficienti indizi di reato - presupposto indispen- sabile del provvedimento di sequestro cautelare ai sensi dell’art. 65 PP (v. HAUSER/SCHWERI, Schweizerisches Strafprozessrecht, 5a. ediz., Basilea 2002, § 69 N 1) -, dalla decisione di convalida dell’arresto del 2 settembre 2004 (act. 5.6), si evince come l’indagato abbia sostanzialmente ammesso di essere al corrente dei meccanismi del contrabbando internazionale di si- garette (in particolare quello, fiorente, tra il Montenegro e l’Italia meridiona- le), e di conoscere - per avere avuto con loro relazioni durature commerciali - alcuni dei presunti autori di questo traffico, tra cui dei soggetti legati ad organizzazioni di tipo mafioso attivamente ricercati - se non addirittura già condannati - in Italia per le loro attività criminali (sull’argomento, v. la sen- tenza del Tribunale federale 1A.201/2003 del 19 novembre 2003, consid. 3 con i riferimenti ad altre sentenze ivi citati). Ora, la natura dei reati conte- stati a C.______ e il sospetto che gran parte dei proventi del contrabbando di sigarette, controllato da organizzazioni di stampo mafioso dell’Italia meri- dionale quali la camorra napoletana o la “Sacra Corona Unita” pugliese, vengano indirizzati in Svizzera e qui riciclati per il tramite di società di co- modo o uffici di cambio giustificano, in principio, il sequestro cautelativo da parte delle autorità inquirenti di tutti i valori patrimoniali o altri oggetti di va- lore commerciale rinvenuti presso l’abitazione dell’indagato a X.______. L’identificazione e la perquisizione di beni - compreso il denaro contante, i libretti di risparmio o i lingotti d’oro - che si riferiscono direttamente o indi- rettamente ad una persona implicata in un’inchiesta di questo genere non ha nulla di anormale; anzi, è solo attraverso il minuzioso controllo della provenienza di tali beni che sarà possibile stabilire i fatti e raccogliere indizi su eventuali reati di riciclaggio di denaro. Tenuto conto dello stadio prelimi- nare dell’inchiesta nonché della sua complessità, si può ragionevolmente ri- tenere per dato il primo requisito alla base del sequestro cautelare, ossia l’esistenza in concreto di sufficienti indizi di reato riguardanti i titoli di parte- cipazione o sostegno ad organizzazione criminale ai sensi dell’art. 260ter CP e di riciclaggio di denaro ai sensi dell’art. 305bis CP.</w:t>
      </w:r>
    </w:p>
    <w:p>
      <w:r>
        <w:t>- 6 -</w:t>
      </w:r>
    </w:p>
    <w:p>
      <w:r>
        <w:rPr>
          <w:b/>
        </w:rPr>
        <w:t>E. 2.3</w:t>
      </w:r>
    </w:p>
    <w:p>
      <w:r>
        <w:t>Assodata la presenza di sufficienti indizi di reato, occorre poi verificare se tra questi e l’oggetto sequestrato agli incombenti dell’autorità inquirente e- sista una sufficiente connessione. Le ricorrenti lo contestano, sostenendo che i beni di cui reclamano la restituzione sarebbero di loro esclusiva perti- nenza. Per esse, C.______ non avrebbe alcun potere di disposizione fat- tuale su tali beni, per cui il sequestro ai fini di una loro eventuale confisca giusta l’art. 59 n. 3 CP sarebbe già da escludere in partenza. Passiamo quindi all’esame delle singole posizioni. - posizione n. 2 (busta contenente fr. 30'850.-- in contanti) Questo importo riguarderebbe, secondo le reclamanti, l’attività del negozio di cambio e distributore di benzina di Y.______, presso il quale vengono giornalmente effettuale delle operazioni di cambio per i frontalieri italiani. L’indagato ha invece dichiarato che questo denaro appartiene alla D.______ SA, società di cambi di cui è amministratore unico nonché azio- nista di maggioranza (v. suo interrogatorio davanti al Procuratore federale del 22 settembre 2004, act. 5.6, pag. 3 in alto). Ora, posto da un lato il con- trollo completo dell’indagato sulla D.______ SA, e, dall’altro, i sospetti che gravano sull’attività svolta da questa società (v. al proposito la decisione di questo Tribunale nell’incarto BK_B 133/04 del 2 novembre 2004, relativa al sequestro degli averi rinvenuti presso la sede di Z.______ della D.______ SA), non si può a priori escludere che si tratti di valori patrimoniali di cui la persona sospettata di appartenere o comunque sostenere l’organizzazione criminale ha un potere di disposizione fattuale ai sensi dell’art. 59 n. 3 CP. Le reclamanti non hanno d’altronde apportato prova del contrario (v. art. 59 n. 3 seconda frase CP), per cui, relativamente a questa posizione, il seque- stro cautelare ordinato dal MPC deve per il momento essere confermato, in attesa di ulteriori delucidazioni sull’origine di questo denaro. - posizione n. 15 (quattro lingotti d’oro di 1 kg l’uno) Nel reclamo si sostiene che questi lingotti sono di proprietà della figlia dell’indagato B.______, che li avrebbe ricevuti in donazioni dal nonno E.______, deceduto il 3 gennaio 2003. L’indagato ha invece dichiarato che questi lingotti, acquistati negli anni ’90, appartengono alla moglie A.______ (v. interrogatorio del 22 settembre 2004, act. 5.6, pag. 3). Già da queste di- chiarazioni si evince come, al momento, la titolarità di questi beni non è an- cora ben determinata; fino all’apporto della prova certa della proprietà di questi beni da parte della moglie o della figlia, non si può pertanto del tutto escludere che l’indagato (pure lui erede) ne abbia facoltà di disporre ai sensi dell’art. 59 n. 3 CP. Come rilevato dalle stesse reclamanti, la pratica successoria di E.______ è tuttora aperta e l’inventario successorio in fase</w:t>
      </w:r>
    </w:p>
    <w:p>
      <w:r>
        <w:t>- 7 -</w:t>
      </w:r>
    </w:p>
    <w:p>
      <w:r>
        <w:t>di allestimento (v. la proroga concessa agli eredi fino al 30 novembre 2004 da parte dell’Ufficio imposte successioni e donazioni, act. 7.2); se la pro- prietà di tali beni da parte di una o l’altra delle reclamanti dovesse trovare conferma ufficiale nel prosieguo della pratica ereditaria, vi sarebbero allora le condizioni per revocare il sequestro. Sino a quel momento il litigioso provvedimento deve però essere mantenuto. - posizioni n. 16,17 e 18 (3 libretti di risparmio) Trattasi, secondo le dichiarazioni sostanzialmente concordanti di reclamanti e indagato, di tre libretti di risparmio di pertinenza della massa ereditaria fu E.______ e F.______. Valgono pertanto qui le stesse considerazioni e- spresse al punto precedente, che impongono di mantenere il provvedimen- to di sequestro fino all’accertamento definitivo della trasmissione per via ereditaria di questi beni alle reclamanti. - posizione n. 19 (libretto di risparmio, N.______) Le reclamanti pretendono che questo libretto di risparmio sia di proprietà di G.______, di R.______ (I), il quale l’avrebbe affidato al loro genitore, rispet- tivamente marito, affinché effettuasse delle operazioni finanziarie (incasso e cambio in Euro); a sostegno della loro argomentazione producono una dichiarazione in tal senso dell’interessato. Interrogato al proposito, C.______ ha dichiarato che G.______ è un suo cliente, avendo un contrat- to fiduciario con la D.______ SA, ma ha negato che questi abbia un libretto di risparmio presso di lui o presso la D.______ SA (v. interrogatorio del 22 settembre 2004, act. 5.6, pag. 8). Essendo queste dichiarazioni contrastan- ti, non è possibile al momento stabilire con esattezza la titolarità di questo libretto di risparmio; nel dubbio, non è fuori luogo ritenere che l’indagato ne abbia avuto facoltà di disposizione ai sensi dell’art. 59 n. 3 CP. In attesa di ulteriori accertamenti, il mantenimento del sequestro cautelare è senz’altro ammissibile. - posizione n. 20 (chiave di cassetta di sicurezza presso Banca H.______ di X.______) Le insorgenti asseverano che la cassetta di sicurezza M.______ presso la Banca H.______ di X.______ conterrebbe oggetti di proprietà esclusiva (alcuni pezzetti d’oro) di B.______, sui quali l’indagato non avrebbe alcun potere di disposizione. Come rilevato dal MPC in sede di duplica, tale obie- zione è però sinora rimasta una mera affermazione di parte priva di riscon- tro probatorio; a tale proposito l’autorità inquirente sta effettuando delle in- dagini presso la banca. E’ quindi a giusto titolo che il MPC ha affermato che un’eventuale decisione in merito al dissequestro di questo oggetto potrà</w:t>
      </w:r>
    </w:p>
    <w:p>
      <w:r>
        <w:t>- 8 -</w:t>
      </w:r>
    </w:p>
    <w:p>
      <w:r>
        <w:t>avvenire solo una volta stabilita senza ombra di dubbio la titolarità dello stesso. - posizione n. 33 (tre chiavi di cassetta di sicurezza contenente documenti bancari) Si tratta di 3 chiavi di cassette di sicurezza che, secondo le reclamanti, con- terrebbero oggetti di esclusiva proprietà di A.______. Nel gravame si fa ri- ferimento ad un non meglio precisato “contratto con la banca”, che però non è stato prodotto tra gli allegati al reclamo, né in quelli allegati alla repli- ca. In simili evenienze, l’autorità inquirente (come pure questo Tribunale) è nell’impossibilità di verificare la veridicità delle dichiarazioni ricorsuali. Il provvedimento di sequestro deve quindi essere confermato anche in que- sto caso, il potere di disposizione su questi valori da parte dell’indagato es- sendo presunto (v. art. 59 n. 3 seconda frase CP). Alle reclamanti è co- munque riservata la possibilità di apportare - direttamente al MPC - la pro- va del contrario tramite una dichiarazione della banca. - posizione n. 62 (automobile AUDI RS 4) Tra gli oggetti presi in custodia dall’autorità inquirente in occasione della perquisizione del domicilio dell’indagato figurano anche due automobili. O- ra, benché non risulti chiaramente dal testo letterale dell’art. 59 n. 3 CP, che si riferisce genericamente a „valori patrimoniali“, il legislatore ha voluto includere tra i valori suscettibili di confisca (e quindi, preventivamente, di sequestro) ai sensi di questa norma tutti gli oggetti dotati di un valore com- merciale determinato o facilmente determinabile (v. N. SCHMID, n. 17-19 in relazione al n. 128, nonché n. 133 e 193 ad art. 59 CP, in: Schmid (Hrsg.), Kommentar Einziehung, organisiertes Verbrechen und Geldwäscherei, Tomo I, Zurigo 1998). Gli autoveicoli, per quanto dotati di un valore com- merciale, fanno quindi parte dei valori patrimoniali soggiacenti a confisca nella misura in cui l’organizzazione criminale (o uno dei suoi membri) ne possa disporre. In concreto l’automobile AUDI RS 4 grigia sequestrata all’occasione della perquisizione domiciliare del 31 agosto scorso risulta intestata alla D.______ SA, come si evince dal protocollo di sequestro veicolo allegato al protocollo di perquisizione (v. act. 5.2). A prescindere dal fatto che le re- clamanti non avrebbero in questo caso la legittimazione attiva ad interporre reclamo per conto della proprietaria del veicolo (la D.______ SA), per le ra- gioni precedentemente esposte in occasione dell’esame della posizione n.</w:t>
      </w:r>
    </w:p>
    <w:p>
      <w:r>
        <w:rPr>
          <w:b/>
        </w:rPr>
        <w:t>E. 3</w:t>
      </w:r>
    </w:p>
    <w:p>
      <w:r>
        <w:t>Discende da quanto precede che il reclamo, nella misura in cui non è dive- nuto privo di oggetto, deve essere respinto. Conformemente al nuovo art. 245 PP, in vigore dal 1° aprile 2004, le spese processuali sono poste a ca- rico della parte soccombente; queste sono calcolate giusta l’art. 3 del Re- golamento sulle tasse di giustizia del Tribunale penale federale (RS 173.711.32) e ammontano nella fattispecie a fr. 1’500.--. Dedotto l’anticipo delle spese di fr. 500.-- già versato, le reclamanti sono invitate a versare, in solido, il saldo di fr. 1’000.--.</w:t>
      </w:r>
    </w:p>
    <w:p>
      <w:r>
        <w:t>- 10 -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